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_GB2312" w:eastAsia="仿宋_GB2312"/>
          <w:b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sz w:val="36"/>
          <w:szCs w:val="36"/>
        </w:rPr>
        <w:t>参与起草单位回执</w:t>
      </w:r>
    </w:p>
    <w:bookmarkEnd w:id="0"/>
    <w:p>
      <w:pPr>
        <w:spacing w:line="360" w:lineRule="auto"/>
        <w:jc w:val="left"/>
        <w:rPr>
          <w:rFonts w:hint="eastAsia"/>
          <w:szCs w:val="21"/>
          <w:u w:val="single"/>
        </w:rPr>
      </w:pPr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2605"/>
        <w:gridCol w:w="1957"/>
        <w:gridCol w:w="1361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1543" w:type="dxa"/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参与起草标准名称</w:t>
            </w:r>
          </w:p>
        </w:tc>
        <w:tc>
          <w:tcPr>
            <w:tcW w:w="2605" w:type="dxa"/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起草单位名称</w:t>
            </w:r>
          </w:p>
        </w:tc>
        <w:tc>
          <w:tcPr>
            <w:tcW w:w="1957" w:type="dxa"/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组织机构代码</w:t>
            </w:r>
          </w:p>
        </w:tc>
        <w:tc>
          <w:tcPr>
            <w:tcW w:w="1361" w:type="dxa"/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标准工作参与人</w:t>
            </w:r>
          </w:p>
        </w:tc>
        <w:tc>
          <w:tcPr>
            <w:tcW w:w="1654" w:type="dxa"/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</w:trPr>
        <w:tc>
          <w:tcPr>
            <w:tcW w:w="1543" w:type="dxa"/>
            <w:shd w:val="clear" w:color="auto" w:fill="auto"/>
            <w:vAlign w:val="top"/>
          </w:tcPr>
          <w:p>
            <w:pPr>
              <w:spacing w:line="360" w:lineRule="auto"/>
              <w:jc w:val="left"/>
              <w:rPr>
                <w:rFonts w:hint="eastAsia"/>
                <w:szCs w:val="21"/>
                <w:u w:val="single"/>
              </w:rPr>
            </w:pPr>
          </w:p>
        </w:tc>
        <w:tc>
          <w:tcPr>
            <w:tcW w:w="2605" w:type="dxa"/>
            <w:shd w:val="clear" w:color="auto" w:fill="auto"/>
            <w:vAlign w:val="top"/>
          </w:tcPr>
          <w:p>
            <w:pPr>
              <w:spacing w:line="360" w:lineRule="auto"/>
              <w:jc w:val="left"/>
              <w:rPr>
                <w:rFonts w:hint="eastAsia"/>
                <w:szCs w:val="21"/>
                <w:u w:val="single"/>
              </w:rPr>
            </w:pPr>
          </w:p>
        </w:tc>
        <w:tc>
          <w:tcPr>
            <w:tcW w:w="1957" w:type="dxa"/>
            <w:shd w:val="clear" w:color="auto" w:fill="auto"/>
            <w:vAlign w:val="top"/>
          </w:tcPr>
          <w:p>
            <w:pPr>
              <w:spacing w:line="360" w:lineRule="auto"/>
              <w:jc w:val="left"/>
              <w:rPr>
                <w:rFonts w:hint="eastAsia"/>
                <w:szCs w:val="21"/>
                <w:u w:val="single"/>
              </w:rPr>
            </w:pPr>
          </w:p>
        </w:tc>
        <w:tc>
          <w:tcPr>
            <w:tcW w:w="1361" w:type="dxa"/>
            <w:shd w:val="clear" w:color="auto" w:fill="auto"/>
            <w:vAlign w:val="top"/>
          </w:tcPr>
          <w:p>
            <w:pPr>
              <w:spacing w:line="360" w:lineRule="auto"/>
              <w:jc w:val="left"/>
              <w:rPr>
                <w:rFonts w:hint="eastAsia"/>
                <w:szCs w:val="21"/>
                <w:u w:val="single"/>
              </w:rPr>
            </w:pPr>
          </w:p>
        </w:tc>
        <w:tc>
          <w:tcPr>
            <w:tcW w:w="1654" w:type="dxa"/>
            <w:shd w:val="clear" w:color="auto" w:fill="auto"/>
            <w:vAlign w:val="top"/>
          </w:tcPr>
          <w:p>
            <w:pPr>
              <w:spacing w:line="360" w:lineRule="auto"/>
              <w:jc w:val="left"/>
              <w:rPr>
                <w:rFonts w:hint="eastAsia"/>
                <w:szCs w:val="21"/>
                <w:u w:val="single"/>
              </w:rPr>
            </w:pPr>
          </w:p>
        </w:tc>
      </w:tr>
    </w:tbl>
    <w:p>
      <w:pPr>
        <w:spacing w:line="360" w:lineRule="auto"/>
        <w:jc w:val="left"/>
        <w:rPr>
          <w:rFonts w:hint="eastAsia"/>
          <w:szCs w:val="21"/>
          <w:u w:val="single"/>
        </w:rPr>
      </w:pPr>
    </w:p>
    <w:p>
      <w:pPr>
        <w:spacing w:line="360" w:lineRule="auto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注：回执请传真至22023424或邮寄至福州路185号北部614室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70890"/>
    <w:rsid w:val="0EB708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2018-09-17T03:11:00Z</dcterms:created>
  <dc:creator>可苦可乐</dc:creator>
  <cp:lastModifiedBy>可苦可乐</cp:lastModifiedBy>
  <dcterms:modified xsi:type="dcterms:W3CDTF">2018-09-17T03:11:29Z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